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color w:val="auto"/>
        </w:rPr>
      </w:pPr>
      <w:r>
        <w:rPr>
          <w:color w:val="auto"/>
        </w:rPr>
        <w:drawing>
          <wp:inline distT="0" distB="0" distL="0" distR="0">
            <wp:extent cx="5274310" cy="4535805"/>
            <wp:effectExtent l="0" t="0" r="2540" b="0"/>
            <wp:docPr id="6597847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784746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3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ascii="Arial" w:hAnsi="Arial" w:cs="Arial"/>
          <w:bCs/>
          <w:color w:val="auto"/>
          <w:szCs w:val="24"/>
          <w:lang w:bidi="en-US"/>
        </w:rPr>
      </w:pPr>
      <w:r>
        <w:rPr>
          <w:rFonts w:ascii="Arial" w:hAnsi="Arial" w:cs="Arial"/>
          <w:b/>
          <w:bCs/>
          <w:color w:val="auto"/>
          <w:szCs w:val="24"/>
        </w:rPr>
        <w:t xml:space="preserve">Supplementary Figure S1: </w:t>
      </w:r>
      <w:r>
        <w:rPr>
          <w:rFonts w:ascii="Arial" w:hAnsi="Arial" w:cs="Arial"/>
          <w:b/>
          <w:color w:val="auto"/>
          <w:szCs w:val="24"/>
          <w:lang w:bidi="en-US"/>
        </w:rPr>
        <w:t>WGCNA screening suitable TM-related genes for construction of TM clusters.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/>
          <w:bCs/>
          <w:color w:val="auto"/>
          <w:szCs w:val="24"/>
        </w:rPr>
        <w:t>(A)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Cs/>
          <w:color w:val="auto"/>
          <w:szCs w:val="24"/>
          <w:lang w:bidi="en-US"/>
        </w:rPr>
        <w:t>The association between different gene modules.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/>
          <w:bCs/>
          <w:color w:val="auto"/>
          <w:szCs w:val="24"/>
        </w:rPr>
        <w:t>(B)</w:t>
      </w:r>
      <w:r>
        <w:rPr>
          <w:rFonts w:ascii="Arial" w:hAnsi="Arial" w:cs="Arial"/>
          <w:color w:val="auto"/>
        </w:rPr>
        <w:t xml:space="preserve"> The relationship between biological pathways and gene modules. </w:t>
      </w:r>
      <w:r>
        <w:rPr>
          <w:rFonts w:ascii="Arial" w:hAnsi="Arial" w:cs="Arial"/>
          <w:b/>
          <w:bCs/>
          <w:color w:val="auto"/>
          <w:szCs w:val="24"/>
        </w:rPr>
        <w:t xml:space="preserve">(C-G) </w:t>
      </w:r>
      <w:r>
        <w:rPr>
          <w:rFonts w:ascii="Arial" w:hAnsi="Arial" w:cs="Arial"/>
          <w:color w:val="auto"/>
          <w:szCs w:val="24"/>
        </w:rPr>
        <w:t>The heat map of consensus clusters (k= 2-5).</w:t>
      </w:r>
      <w:r>
        <w:rPr>
          <w:rFonts w:ascii="Arial" w:hAnsi="Arial" w:cs="Arial"/>
          <w:b/>
          <w:bCs/>
          <w:color w:val="auto"/>
          <w:szCs w:val="24"/>
        </w:rPr>
        <w:t xml:space="preserve"> (H)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Cs/>
          <w:color w:val="auto"/>
          <w:szCs w:val="24"/>
          <w:lang w:bidi="en-US"/>
        </w:rPr>
        <w:t>The CDF and delta index of consensus clustering.</w:t>
      </w:r>
    </w:p>
    <w:p>
      <w:pPr>
        <w:rPr>
          <w:rFonts w:ascii="Arial" w:hAnsi="Arial" w:cs="Arial"/>
          <w:bCs/>
          <w:color w:val="auto"/>
          <w:szCs w:val="24"/>
          <w:lang w:bidi="en-US"/>
        </w:rPr>
      </w:pPr>
    </w:p>
    <w:p>
      <w:pPr>
        <w:rPr>
          <w:rFonts w:ascii="Arial" w:hAnsi="Arial" w:cs="Arial"/>
          <w:color w:val="auto"/>
          <w:szCs w:val="24"/>
        </w:rPr>
      </w:pPr>
      <w:r>
        <w:rPr>
          <w:color w:val="auto"/>
        </w:rPr>
        <w:drawing>
          <wp:inline distT="0" distB="0" distL="0" distR="0">
            <wp:extent cx="5274310" cy="4732655"/>
            <wp:effectExtent l="0" t="0" r="2540" b="0"/>
            <wp:docPr id="89633106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331066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3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Arial" w:hAnsi="Arial" w:cs="Arial"/>
          <w:bCs/>
          <w:color w:val="auto"/>
          <w:szCs w:val="24"/>
          <w:lang w:bidi="en-US"/>
        </w:rPr>
      </w:pPr>
      <w:r>
        <w:rPr>
          <w:rFonts w:ascii="Arial" w:hAnsi="Arial" w:cs="Arial"/>
          <w:b/>
          <w:bCs/>
          <w:color w:val="auto"/>
          <w:szCs w:val="24"/>
        </w:rPr>
        <w:t xml:space="preserve">Supplementary Figure S2: </w:t>
      </w:r>
      <w:r>
        <w:rPr>
          <w:rFonts w:hint="eastAsia" w:ascii="Arial" w:hAnsi="Arial" w:cs="Arial"/>
          <w:b/>
          <w:color w:val="auto"/>
          <w:szCs w:val="24"/>
          <w:lang w:bidi="en-US"/>
        </w:rPr>
        <w:t>GO</w:t>
      </w:r>
      <w:r>
        <w:rPr>
          <w:rFonts w:ascii="Arial" w:hAnsi="Arial" w:cs="Arial"/>
          <w:b/>
          <w:color w:val="auto"/>
          <w:szCs w:val="24"/>
          <w:lang w:bidi="en-US"/>
        </w:rPr>
        <w:t xml:space="preserve"> </w:t>
      </w:r>
      <w:r>
        <w:rPr>
          <w:rFonts w:hint="eastAsia" w:ascii="Arial" w:hAnsi="Arial" w:cs="Arial"/>
          <w:b/>
          <w:color w:val="auto"/>
          <w:szCs w:val="24"/>
          <w:lang w:bidi="en-US"/>
        </w:rPr>
        <w:t>anal</w:t>
      </w:r>
      <w:r>
        <w:rPr>
          <w:rFonts w:ascii="Arial" w:hAnsi="Arial" w:cs="Arial"/>
          <w:b/>
          <w:color w:val="auto"/>
          <w:szCs w:val="24"/>
          <w:lang w:bidi="en-US"/>
        </w:rPr>
        <w:t>ysis of the three clusters.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/>
          <w:bCs/>
          <w:color w:val="auto"/>
          <w:szCs w:val="24"/>
        </w:rPr>
        <w:t>(A)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Cs/>
          <w:color w:val="auto"/>
          <w:szCs w:val="24"/>
          <w:lang w:bidi="en-US"/>
        </w:rPr>
        <w:t>GO analysis of the three TM clusters, respectively.</w:t>
      </w:r>
    </w:p>
    <w:p>
      <w:pPr>
        <w:rPr>
          <w:rFonts w:ascii="Arial" w:hAnsi="Arial" w:cs="Arial"/>
          <w:bCs/>
          <w:color w:val="auto"/>
          <w:szCs w:val="24"/>
          <w:lang w:bidi="en-US"/>
        </w:rPr>
      </w:pPr>
      <w:r>
        <w:rPr>
          <w:color w:val="auto"/>
        </w:rPr>
        <w:drawing>
          <wp:inline distT="0" distB="0" distL="0" distR="0">
            <wp:extent cx="5274310" cy="4436745"/>
            <wp:effectExtent l="0" t="0" r="2540" b="1905"/>
            <wp:docPr id="14368030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803014" name="图片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3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Arial" w:hAnsi="Arial" w:cs="Arial"/>
          <w:bCs/>
          <w:color w:val="auto"/>
          <w:szCs w:val="24"/>
          <w:lang w:bidi="en-US"/>
        </w:rPr>
      </w:pPr>
      <w:r>
        <w:rPr>
          <w:rFonts w:ascii="Arial" w:hAnsi="Arial" w:cs="Arial"/>
          <w:b/>
          <w:bCs/>
          <w:color w:val="auto"/>
          <w:szCs w:val="24"/>
        </w:rPr>
        <w:t xml:space="preserve">Supplementary Figure S3: </w:t>
      </w:r>
      <w:r>
        <w:rPr>
          <w:rFonts w:ascii="Arial" w:hAnsi="Arial" w:cs="Arial"/>
          <w:b/>
          <w:color w:val="auto"/>
          <w:szCs w:val="24"/>
          <w:lang w:bidi="en-US"/>
        </w:rPr>
        <w:t>Clinical traits of TM clusters in meta-GEO datasets.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/>
          <w:bCs/>
          <w:color w:val="auto"/>
          <w:szCs w:val="24"/>
        </w:rPr>
        <w:t>(A)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Cs/>
          <w:color w:val="auto"/>
          <w:szCs w:val="24"/>
          <w:lang w:bidi="en-US"/>
        </w:rPr>
        <w:t>The expression of 282 TM-related genes in TM clusters.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/>
          <w:bCs/>
          <w:color w:val="auto"/>
          <w:szCs w:val="24"/>
        </w:rPr>
        <w:t>(B)</w:t>
      </w:r>
      <w:r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  <w:szCs w:val="24"/>
        </w:rPr>
        <w:t>The distinctions between TMCs were discovered by examining clinical characteristics and 15 pathways assessed by ssGSEA in meta-GEO datasets</w:t>
      </w:r>
      <w:r>
        <w:rPr>
          <w:rFonts w:ascii="Arial" w:hAnsi="Arial" w:cs="Arial"/>
          <w:color w:val="auto"/>
        </w:rPr>
        <w:t xml:space="preserve">. </w:t>
      </w:r>
      <w:r>
        <w:rPr>
          <w:rFonts w:ascii="Arial" w:hAnsi="Arial" w:cs="Arial"/>
          <w:b/>
          <w:bCs/>
          <w:color w:val="auto"/>
          <w:szCs w:val="24"/>
        </w:rPr>
        <w:t xml:space="preserve">(C) </w:t>
      </w:r>
      <w:r>
        <w:rPr>
          <w:rFonts w:ascii="Arial" w:hAnsi="Arial" w:cs="Arial"/>
          <w:color w:val="auto"/>
        </w:rPr>
        <w:t>Proportion of TMCs in different clinical stages in meta-GEO datasets</w:t>
      </w:r>
      <w:r>
        <w:rPr>
          <w:rFonts w:ascii="Arial" w:hAnsi="Arial" w:cs="Arial"/>
          <w:color w:val="auto"/>
          <w:szCs w:val="24"/>
        </w:rPr>
        <w:t>.</w:t>
      </w:r>
      <w:r>
        <w:rPr>
          <w:rFonts w:ascii="Arial" w:hAnsi="Arial" w:cs="Arial"/>
          <w:b/>
          <w:bCs/>
          <w:color w:val="auto"/>
          <w:szCs w:val="24"/>
        </w:rPr>
        <w:t xml:space="preserve"> (D)</w:t>
      </w:r>
      <w:r>
        <w:rPr>
          <w:rFonts w:ascii="Arial" w:hAnsi="Arial" w:cs="Arial"/>
          <w:color w:val="auto"/>
          <w:szCs w:val="24"/>
        </w:rPr>
        <w:t xml:space="preserve"> TMCs’ respective TM ssGSEA scores uncovered that TMC3 scored the highest while TMC1 the lowest in meta-GEO datasets.</w:t>
      </w:r>
    </w:p>
    <w:p>
      <w:pPr>
        <w:rPr>
          <w:rFonts w:ascii="Arial" w:hAnsi="Arial" w:cs="Arial"/>
          <w:bCs/>
          <w:color w:val="auto"/>
          <w:szCs w:val="24"/>
          <w:lang w:bidi="en-US"/>
        </w:rPr>
      </w:pPr>
    </w:p>
    <w:p>
      <w:pPr>
        <w:rPr>
          <w:rFonts w:ascii="Arial" w:hAnsi="Arial" w:cs="Arial"/>
          <w:color w:val="auto"/>
        </w:rPr>
      </w:pPr>
    </w:p>
    <w:p>
      <w:pPr>
        <w:rPr>
          <w:rFonts w:ascii="Arial" w:hAnsi="Arial" w:cs="Arial"/>
          <w:color w:val="auto"/>
        </w:rPr>
      </w:pPr>
    </w:p>
    <w:p>
      <w:pPr>
        <w:rPr>
          <w:rFonts w:ascii="Arial" w:hAnsi="Arial" w:cs="Arial"/>
          <w:color w:val="auto"/>
        </w:rPr>
      </w:pPr>
      <w:r>
        <w:rPr>
          <w:color w:val="auto"/>
        </w:rPr>
        <w:drawing>
          <wp:inline distT="0" distB="0" distL="0" distR="0">
            <wp:extent cx="5274310" cy="6205855"/>
            <wp:effectExtent l="0" t="0" r="2540" b="4445"/>
            <wp:docPr id="10731277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127728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0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Arial" w:hAnsi="Arial" w:cs="Arial"/>
          <w:color w:val="auto"/>
          <w:szCs w:val="24"/>
        </w:rPr>
      </w:pPr>
      <w:r>
        <w:rPr>
          <w:rFonts w:ascii="Arial" w:hAnsi="Arial" w:cs="Arial"/>
          <w:b/>
          <w:bCs/>
          <w:color w:val="auto"/>
          <w:szCs w:val="24"/>
        </w:rPr>
        <w:t>Supplementary Figure S4: Exploration of TME in TMCs in meta-GEO datasets.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/>
          <w:bCs/>
          <w:color w:val="auto"/>
          <w:szCs w:val="24"/>
        </w:rPr>
        <w:t>(A)</w:t>
      </w:r>
      <w:r>
        <w:rPr>
          <w:rFonts w:ascii="Arial" w:hAnsi="Arial" w:cs="Arial"/>
          <w:color w:val="auto"/>
          <w:szCs w:val="24"/>
        </w:rPr>
        <w:t xml:space="preserve"> ssGSEA analysis revealed the different infiltration status of immune cells in TMCs. </w:t>
      </w:r>
      <w:r>
        <w:rPr>
          <w:rFonts w:ascii="Arial" w:hAnsi="Arial" w:cs="Arial"/>
          <w:b/>
          <w:bCs/>
          <w:color w:val="auto"/>
          <w:szCs w:val="24"/>
        </w:rPr>
        <w:t>(B)</w:t>
      </w:r>
      <w:r>
        <w:rPr>
          <w:rFonts w:ascii="Arial" w:hAnsi="Arial" w:cs="Arial"/>
          <w:color w:val="auto"/>
        </w:rPr>
        <w:t xml:space="preserve"> Cibersort analysis exhibited the Immune cells’ proportion in TMCs. </w:t>
      </w:r>
      <w:r>
        <w:rPr>
          <w:rFonts w:ascii="Arial" w:hAnsi="Arial" w:cs="Arial"/>
          <w:b/>
          <w:bCs/>
          <w:color w:val="auto"/>
          <w:szCs w:val="24"/>
        </w:rPr>
        <w:t xml:space="preserve">(C) </w:t>
      </w:r>
      <w:r>
        <w:rPr>
          <w:rFonts w:ascii="Arial" w:hAnsi="Arial" w:cs="Arial"/>
          <w:color w:val="auto"/>
          <w:szCs w:val="24"/>
        </w:rPr>
        <w:t xml:space="preserve">ESTIMATE </w:t>
      </w:r>
      <w:r>
        <w:rPr>
          <w:rFonts w:ascii="Arial" w:hAnsi="Arial" w:cs="Arial"/>
          <w:color w:val="auto"/>
        </w:rPr>
        <w:t>algorithm assessed immune and stromal scores in TMCs</w:t>
      </w:r>
      <w:r>
        <w:rPr>
          <w:rFonts w:ascii="Arial" w:hAnsi="Arial" w:cs="Arial"/>
          <w:color w:val="auto"/>
          <w:szCs w:val="24"/>
        </w:rPr>
        <w:t xml:space="preserve">. </w:t>
      </w:r>
      <w:r>
        <w:rPr>
          <w:rFonts w:ascii="Arial" w:hAnsi="Arial" w:cs="Arial"/>
          <w:b/>
          <w:bCs/>
          <w:color w:val="auto"/>
          <w:szCs w:val="24"/>
        </w:rPr>
        <w:t>(D)</w:t>
      </w:r>
      <w:r>
        <w:rPr>
          <w:rFonts w:ascii="Arial" w:hAnsi="Arial" w:cs="Arial"/>
          <w:color w:val="auto"/>
          <w:szCs w:val="24"/>
        </w:rPr>
        <w:t xml:space="preserve"> TM was calculated using association analysis on different immune cells. </w:t>
      </w:r>
      <w:r>
        <w:rPr>
          <w:rFonts w:ascii="Arial" w:hAnsi="Arial" w:cs="Arial"/>
          <w:b/>
          <w:bCs/>
          <w:color w:val="auto"/>
          <w:szCs w:val="24"/>
        </w:rPr>
        <w:t>(E)</w:t>
      </w:r>
      <w:r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  <w:szCs w:val="24"/>
        </w:rPr>
        <w:t>Differential expression of PDL1 and CD14 in TMCs (* p &lt;0.05, ** p &lt;0.01, *** p &lt;0.001).</w:t>
      </w: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bCs/>
          <w:color w:val="auto"/>
          <w:szCs w:val="24"/>
          <w:lang w:bidi="en-US"/>
        </w:rPr>
      </w:pPr>
      <w:r>
        <w:rPr>
          <w:color w:val="auto"/>
        </w:rPr>
        <w:drawing>
          <wp:inline distT="0" distB="0" distL="0" distR="0">
            <wp:extent cx="5274310" cy="3825240"/>
            <wp:effectExtent l="0" t="0" r="2540" b="3810"/>
            <wp:docPr id="95426269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262696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Arial" w:hAnsi="Arial" w:cs="Arial"/>
          <w:color w:val="auto"/>
          <w:szCs w:val="24"/>
        </w:rPr>
      </w:pPr>
      <w:r>
        <w:rPr>
          <w:rFonts w:ascii="Arial" w:hAnsi="Arial" w:cs="Arial"/>
          <w:b/>
          <w:bCs/>
          <w:color w:val="auto"/>
          <w:szCs w:val="24"/>
        </w:rPr>
        <w:t>Supplementary Figure S5: Validation of TM score in test set.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ascii="Arial" w:hAnsi="Arial" w:cs="Arial"/>
          <w:b/>
          <w:bCs/>
          <w:color w:val="auto"/>
          <w:szCs w:val="24"/>
        </w:rPr>
        <w:t>(A-B)</w:t>
      </w:r>
      <w:r>
        <w:rPr>
          <w:rFonts w:ascii="Arial" w:hAnsi="Arial" w:cs="Arial"/>
          <w:color w:val="auto"/>
          <w:szCs w:val="24"/>
        </w:rPr>
        <w:t xml:space="preserve"> Distribution of TM scores in patients with different OS status in test set. </w:t>
      </w:r>
      <w:r>
        <w:rPr>
          <w:rFonts w:ascii="Arial" w:hAnsi="Arial" w:cs="Arial"/>
          <w:b/>
          <w:bCs/>
          <w:color w:val="auto"/>
          <w:szCs w:val="24"/>
        </w:rPr>
        <w:t>(C)</w:t>
      </w:r>
      <w:r>
        <w:rPr>
          <w:rFonts w:ascii="Arial" w:hAnsi="Arial" w:cs="Arial"/>
          <w:color w:val="auto"/>
        </w:rPr>
        <w:t xml:space="preserve"> </w:t>
      </w:r>
      <w:r>
        <w:rPr>
          <w:rFonts w:hint="eastAsia" w:ascii="Arial" w:hAnsi="Arial" w:cs="Arial"/>
          <w:color w:val="auto"/>
          <w:szCs w:val="24"/>
        </w:rPr>
        <w:t>PCA</w:t>
      </w:r>
      <w:r>
        <w:rPr>
          <w:rFonts w:ascii="Arial" w:hAnsi="Arial" w:cs="Arial"/>
          <w:color w:val="auto"/>
          <w:szCs w:val="24"/>
        </w:rPr>
        <w:t xml:space="preserve"> </w:t>
      </w:r>
      <w:r>
        <w:rPr>
          <w:rFonts w:hint="eastAsia" w:ascii="Arial" w:hAnsi="Arial" w:cs="Arial"/>
          <w:color w:val="auto"/>
          <w:szCs w:val="24"/>
        </w:rPr>
        <w:t>analysis</w:t>
      </w:r>
      <w:r>
        <w:rPr>
          <w:rFonts w:ascii="Arial" w:hAnsi="Arial" w:cs="Arial"/>
          <w:color w:val="auto"/>
          <w:szCs w:val="24"/>
        </w:rPr>
        <w:t xml:space="preserve"> exhibited the distribution between the high and low TM score groups in test set.</w:t>
      </w:r>
      <w:r>
        <w:rPr>
          <w:rFonts w:ascii="Arial" w:hAnsi="Arial" w:cs="Arial"/>
          <w:b/>
          <w:bCs/>
          <w:color w:val="auto"/>
          <w:szCs w:val="24"/>
        </w:rPr>
        <w:t xml:space="preserve"> (D) </w:t>
      </w:r>
      <w:r>
        <w:rPr>
          <w:rFonts w:ascii="Arial" w:hAnsi="Arial" w:cs="Arial"/>
          <w:color w:val="auto"/>
          <w:szCs w:val="24"/>
        </w:rPr>
        <w:t xml:space="preserve">Patients in test set with dead status achieved higher TM score. </w:t>
      </w:r>
      <w:r>
        <w:rPr>
          <w:rFonts w:ascii="Arial" w:hAnsi="Arial" w:cs="Arial"/>
          <w:b/>
          <w:bCs/>
          <w:color w:val="auto"/>
          <w:szCs w:val="24"/>
        </w:rPr>
        <w:t>(D)</w:t>
      </w:r>
      <w:r>
        <w:rPr>
          <w:rFonts w:ascii="Arial" w:hAnsi="Arial" w:cs="Arial"/>
          <w:color w:val="auto"/>
          <w:szCs w:val="24"/>
        </w:rPr>
        <w:t xml:space="preserve"> TM was calculated using association analysis on different immune cells. </w:t>
      </w:r>
      <w:r>
        <w:rPr>
          <w:rFonts w:ascii="Arial" w:hAnsi="Arial" w:cs="Arial"/>
          <w:b/>
          <w:bCs/>
          <w:color w:val="auto"/>
          <w:szCs w:val="24"/>
        </w:rPr>
        <w:t>(E-F)</w:t>
      </w:r>
      <w:r>
        <w:rPr>
          <w:rFonts w:ascii="Arial" w:hAnsi="Arial" w:cs="Arial"/>
          <w:color w:val="auto"/>
        </w:rPr>
        <w:t xml:space="preserve"> Survival analysis with </w:t>
      </w:r>
      <w:r>
        <w:rPr>
          <w:rFonts w:hint="eastAsia" w:ascii="Arial" w:hAnsi="Arial" w:cs="Arial"/>
          <w:color w:val="auto"/>
        </w:rPr>
        <w:t>effective</w:t>
      </w:r>
      <w:r>
        <w:rPr>
          <w:rFonts w:ascii="Arial" w:hAnsi="Arial" w:cs="Arial"/>
          <w:color w:val="auto"/>
        </w:rPr>
        <w:t xml:space="preserve"> AUC revealed </w:t>
      </w:r>
      <w:r>
        <w:rPr>
          <w:rFonts w:hint="eastAsia" w:ascii="Arial" w:hAnsi="Arial" w:cs="Arial"/>
          <w:color w:val="auto"/>
        </w:rPr>
        <w:t>high</w:t>
      </w:r>
      <w:r>
        <w:rPr>
          <w:rFonts w:ascii="Arial" w:hAnsi="Arial" w:cs="Arial"/>
          <w:color w:val="auto"/>
        </w:rPr>
        <w:t xml:space="preserve"> </w:t>
      </w:r>
      <w:r>
        <w:rPr>
          <w:rFonts w:hint="eastAsia" w:ascii="Arial" w:hAnsi="Arial" w:cs="Arial"/>
          <w:color w:val="auto"/>
        </w:rPr>
        <w:t>TM</w:t>
      </w:r>
      <w:r>
        <w:rPr>
          <w:rFonts w:ascii="Arial" w:hAnsi="Arial" w:cs="Arial"/>
          <w:color w:val="auto"/>
        </w:rPr>
        <w:t xml:space="preserve"> </w:t>
      </w:r>
      <w:r>
        <w:rPr>
          <w:rFonts w:hint="eastAsia" w:ascii="Arial" w:hAnsi="Arial" w:cs="Arial"/>
          <w:color w:val="auto"/>
        </w:rPr>
        <w:t>score</w:t>
      </w:r>
      <w:r>
        <w:rPr>
          <w:rFonts w:ascii="Arial" w:hAnsi="Arial" w:cs="Arial"/>
          <w:color w:val="auto"/>
        </w:rPr>
        <w:t xml:space="preserve"> </w:t>
      </w:r>
      <w:r>
        <w:rPr>
          <w:rFonts w:hint="eastAsia" w:ascii="Arial" w:hAnsi="Arial" w:cs="Arial"/>
          <w:color w:val="auto"/>
        </w:rPr>
        <w:t>group</w:t>
      </w:r>
      <w:r>
        <w:rPr>
          <w:rFonts w:ascii="Arial" w:hAnsi="Arial" w:cs="Arial"/>
          <w:color w:val="auto"/>
        </w:rPr>
        <w:t xml:space="preserve"> </w:t>
      </w:r>
      <w:r>
        <w:rPr>
          <w:rFonts w:hint="eastAsia" w:ascii="Arial" w:hAnsi="Arial" w:cs="Arial"/>
          <w:color w:val="auto"/>
        </w:rPr>
        <w:t>had</w:t>
      </w:r>
      <w:r>
        <w:rPr>
          <w:rFonts w:ascii="Arial" w:hAnsi="Arial" w:cs="Arial"/>
          <w:color w:val="auto"/>
        </w:rPr>
        <w:t xml:space="preserve"> </w:t>
      </w:r>
      <w:r>
        <w:rPr>
          <w:rFonts w:hint="eastAsia" w:ascii="Arial" w:hAnsi="Arial" w:cs="Arial"/>
          <w:color w:val="auto"/>
        </w:rPr>
        <w:t>poorer</w:t>
      </w:r>
      <w:r>
        <w:rPr>
          <w:rFonts w:ascii="Arial" w:hAnsi="Arial" w:cs="Arial"/>
          <w:color w:val="auto"/>
        </w:rPr>
        <w:t xml:space="preserve"> </w:t>
      </w:r>
      <w:r>
        <w:rPr>
          <w:rFonts w:hint="eastAsia" w:ascii="Arial" w:hAnsi="Arial" w:cs="Arial"/>
          <w:color w:val="auto"/>
        </w:rPr>
        <w:t>prognosis</w:t>
      </w:r>
      <w:r>
        <w:rPr>
          <w:rFonts w:ascii="Arial" w:hAnsi="Arial" w:cs="Arial"/>
          <w:color w:val="auto"/>
          <w:szCs w:val="24"/>
        </w:rPr>
        <w:t xml:space="preserve"> in test set.</w:t>
      </w: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color w:val="auto"/>
          <w:szCs w:val="24"/>
        </w:rPr>
      </w:pPr>
    </w:p>
    <w:p>
      <w:pPr>
        <w:rPr>
          <w:rFonts w:ascii="Arial" w:hAnsi="Arial" w:cs="Arial"/>
          <w:bCs/>
          <w:color w:val="auto"/>
          <w:szCs w:val="24"/>
          <w:lang w:bidi="en-US"/>
        </w:rPr>
      </w:pPr>
    </w:p>
    <w:p>
      <w:pPr>
        <w:rPr>
          <w:rFonts w:ascii="Arial" w:hAnsi="Arial" w:cs="Arial"/>
          <w:bCs/>
          <w:color w:val="auto"/>
          <w:szCs w:val="24"/>
          <w:lang w:bidi="en-US"/>
        </w:rPr>
      </w:pPr>
      <w:r>
        <w:rPr>
          <w:color w:val="auto"/>
        </w:rPr>
        <w:drawing>
          <wp:inline distT="0" distB="0" distL="0" distR="0">
            <wp:extent cx="5210175" cy="3646170"/>
            <wp:effectExtent l="0" t="0" r="0" b="0"/>
            <wp:docPr id="9769772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977290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17130" cy="3651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Arial" w:hAnsi="Arial" w:cs="Arial"/>
          <w:color w:val="auto"/>
          <w:szCs w:val="24"/>
        </w:rPr>
      </w:pPr>
      <w:r>
        <w:rPr>
          <w:rFonts w:ascii="Arial" w:hAnsi="Arial" w:cs="Arial"/>
          <w:b/>
          <w:bCs/>
          <w:color w:val="auto"/>
          <w:szCs w:val="24"/>
        </w:rPr>
        <w:t xml:space="preserve">Supplementary Figure S6: </w:t>
      </w:r>
      <w:r>
        <w:rPr>
          <w:rFonts w:hint="eastAsia" w:ascii="Arial" w:hAnsi="Arial" w:cs="Arial"/>
          <w:b/>
          <w:bCs/>
          <w:color w:val="auto"/>
          <w:szCs w:val="24"/>
        </w:rPr>
        <w:t>qRT-PCR</w:t>
      </w:r>
      <w:r>
        <w:rPr>
          <w:rFonts w:ascii="Arial" w:hAnsi="Arial" w:cs="Arial"/>
          <w:b/>
          <w:bCs/>
          <w:color w:val="auto"/>
          <w:szCs w:val="24"/>
        </w:rPr>
        <w:t xml:space="preserve"> </w:t>
      </w:r>
      <w:r>
        <w:rPr>
          <w:rFonts w:hint="eastAsia" w:ascii="Arial" w:hAnsi="Arial" w:cs="Arial"/>
          <w:b/>
          <w:bCs/>
          <w:color w:val="auto"/>
          <w:szCs w:val="24"/>
        </w:rPr>
        <w:t>analysis</w:t>
      </w:r>
      <w:r>
        <w:rPr>
          <w:rFonts w:ascii="Arial" w:hAnsi="Arial" w:cs="Arial"/>
          <w:b/>
          <w:bCs/>
          <w:color w:val="auto"/>
          <w:szCs w:val="24"/>
        </w:rPr>
        <w:t xml:space="preserve"> </w:t>
      </w:r>
      <w:r>
        <w:rPr>
          <w:rFonts w:hint="eastAsia" w:ascii="Arial" w:hAnsi="Arial" w:cs="Arial"/>
          <w:b/>
          <w:bCs/>
          <w:color w:val="auto"/>
          <w:szCs w:val="24"/>
        </w:rPr>
        <w:t>o</w:t>
      </w:r>
      <w:r>
        <w:rPr>
          <w:rFonts w:ascii="Arial" w:hAnsi="Arial" w:cs="Arial"/>
          <w:b/>
          <w:bCs/>
          <w:color w:val="auto"/>
          <w:szCs w:val="24"/>
        </w:rPr>
        <w:t>f PLAT, TUBB6, and CALD1 (* p &lt;0.05, ** p &lt;0.01, *** p &lt;0.001).</w:t>
      </w:r>
    </w:p>
    <w:p>
      <w:pPr>
        <w:rPr>
          <w:rFonts w:ascii="Arial" w:hAnsi="Arial" w:cs="Arial"/>
          <w:bCs/>
          <w:color w:val="auto"/>
          <w:szCs w:val="24"/>
          <w:lang w:bidi="en-US"/>
        </w:rPr>
      </w:pPr>
    </w:p>
    <w:p>
      <w:pPr>
        <w:rPr>
          <w:rFonts w:ascii="Arial" w:hAnsi="Arial" w:cs="Arial"/>
          <w:color w:val="auto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MzMzVlYmM5NjYxOWM3MmM3MWUxNjljNjZlZmRkMzQifQ=="/>
  </w:docVars>
  <w:rsids>
    <w:rsidRoot w:val="00B075C7"/>
    <w:rsid w:val="0007794D"/>
    <w:rsid w:val="00192A10"/>
    <w:rsid w:val="001E7577"/>
    <w:rsid w:val="002001E9"/>
    <w:rsid w:val="00215D0F"/>
    <w:rsid w:val="0026649D"/>
    <w:rsid w:val="00301AFF"/>
    <w:rsid w:val="003C0CBC"/>
    <w:rsid w:val="003E11B1"/>
    <w:rsid w:val="00433110"/>
    <w:rsid w:val="004C290F"/>
    <w:rsid w:val="0050188C"/>
    <w:rsid w:val="005D4DD3"/>
    <w:rsid w:val="006102FB"/>
    <w:rsid w:val="006464CD"/>
    <w:rsid w:val="006E0734"/>
    <w:rsid w:val="006F3EF2"/>
    <w:rsid w:val="007273A6"/>
    <w:rsid w:val="0076678A"/>
    <w:rsid w:val="008117B4"/>
    <w:rsid w:val="008461A8"/>
    <w:rsid w:val="008D4197"/>
    <w:rsid w:val="00901EBC"/>
    <w:rsid w:val="0093125C"/>
    <w:rsid w:val="00966DE8"/>
    <w:rsid w:val="00990C45"/>
    <w:rsid w:val="00992803"/>
    <w:rsid w:val="009C5FC8"/>
    <w:rsid w:val="00AB2859"/>
    <w:rsid w:val="00B075C7"/>
    <w:rsid w:val="00BA3C85"/>
    <w:rsid w:val="00CC5F06"/>
    <w:rsid w:val="00DE1CF8"/>
    <w:rsid w:val="00E11667"/>
    <w:rsid w:val="00EA5DA7"/>
    <w:rsid w:val="00EB3F70"/>
    <w:rsid w:val="00EC1028"/>
    <w:rsid w:val="00EC15BC"/>
    <w:rsid w:val="00F16CC9"/>
    <w:rsid w:val="00FD0F48"/>
    <w:rsid w:val="67A91D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autoRedefine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tiff"/><Relationship Id="rId8" Type="http://schemas.openxmlformats.org/officeDocument/2006/relationships/image" Target="media/image5.tiff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313</Words>
  <Characters>1699</Characters>
  <Lines>49</Lines>
  <Paragraphs>7</Paragraphs>
  <TotalTime>38</TotalTime>
  <ScaleCrop>false</ScaleCrop>
  <LinksUpToDate>false</LinksUpToDate>
  <CharactersWithSpaces>2005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2023-09-16T08:30:00Z</dcterms:created>
  <dc:creator>zhenling Wang</dc:creator>
  <cp:lastModifiedBy>Dynamic</cp:lastModifiedBy>
  <dcterms:modified xsi:type="dcterms:W3CDTF">2024-04-08T01:56:26Z</dcterms:modified>
  <cp:revision>41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a74ecbbffd09c99d508d430dc35f98bf23fe05d1d290bc4ddcd0c6fc2b4eaffc</vt:lpwstr>
  </property>
  <property fmtid="{D5CDD505-2E9C-101B-9397-08002B2CF9AE}" pid="3" name="KSOProductBuildVer">
    <vt:lpwstr>2052-12.1.0.16417</vt:lpwstr>
  </property>
  <property fmtid="{D5CDD505-2E9C-101B-9397-08002B2CF9AE}" pid="4" name="ICV">
    <vt:lpwstr>D75E4708A4074BD3A6CBA41CB2860B10_12</vt:lpwstr>
  </property>
</Properties>
</file>